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39C0" w14:textId="4228A3FE" w:rsidR="00EF2942" w:rsidRPr="00EF2942" w:rsidRDefault="00EF2942" w:rsidP="00EF2942">
      <w:pPr>
        <w:jc w:val="center"/>
        <w:rPr>
          <w:lang w:val="en-US"/>
        </w:rPr>
      </w:pPr>
      <w:r w:rsidRPr="00EF2942">
        <w:rPr>
          <w:b/>
          <w:bCs/>
          <w:lang w:val="en-US"/>
        </w:rPr>
        <w:t>Criminal Aspects of the Takeover of Construction Companies</w:t>
      </w:r>
      <w:r w:rsidRPr="00EF2942">
        <w:rPr>
          <w:lang w:val="en-US"/>
        </w:rPr>
        <w:br/>
      </w:r>
    </w:p>
    <w:p w14:paraId="1B72465B" w14:textId="77777777" w:rsidR="00EF2942" w:rsidRPr="00EF2942" w:rsidRDefault="00EF2942" w:rsidP="00EF2942">
      <w:pPr>
        <w:rPr>
          <w:lang w:val="en-US"/>
        </w:rPr>
      </w:pPr>
      <w:r w:rsidRPr="00EF2942">
        <w:rPr>
          <w:lang w:val="en-US"/>
        </w:rPr>
        <w:t>Recently, several administrative decisions have ordered the takeover of businesses, assets, and holdings of well-known construction companies, citing breaches in the development of their projects, financial difficulties, or violations of consumer rights, among other grounds contained in Article 12 of Law 66 of 1968.</w:t>
      </w:r>
    </w:p>
    <w:p w14:paraId="0272DB36" w14:textId="7D6BF57C" w:rsidR="00EF2942" w:rsidRPr="00EF2942" w:rsidRDefault="00EF2942" w:rsidP="00EF2942">
      <w:pPr>
        <w:rPr>
          <w:lang w:val="en-US"/>
        </w:rPr>
      </w:pPr>
      <w:r w:rsidRPr="00EF2942">
        <w:rPr>
          <w:lang w:val="en-US"/>
        </w:rPr>
        <w:t xml:space="preserve">While this measure seeks to prevent fraud and abuse in the construction sector, it is also true that it affects reputable and established companies that have not violated the law, defaulted on obligations, or faced financial issues. Moreover, since the takeover is not limited to a specific project </w:t>
      </w:r>
      <w:proofErr w:type="gramStart"/>
      <w:r w:rsidRPr="00EF2942">
        <w:rPr>
          <w:lang w:val="en-US"/>
        </w:rPr>
        <w:t>in a given</w:t>
      </w:r>
      <w:proofErr w:type="gramEnd"/>
      <w:r w:rsidRPr="00EF2942">
        <w:rPr>
          <w:lang w:val="en-US"/>
        </w:rPr>
        <w:t xml:space="preserve"> municipality, it may jeopardize the company’s nationwide operations, as well as its functionality and ability to perform. In such cases, public officials in charge may overstep their authority, thereby committing a crime or a disciplinary offense.</w:t>
      </w:r>
    </w:p>
    <w:p w14:paraId="0B505407" w14:textId="77777777" w:rsidR="00EF2942" w:rsidRPr="00EF2942" w:rsidRDefault="00EF2942" w:rsidP="00EF2942">
      <w:pPr>
        <w:rPr>
          <w:b/>
          <w:bCs/>
          <w:lang w:val="en-US"/>
        </w:rPr>
      </w:pPr>
      <w:r w:rsidRPr="00EF2942">
        <w:rPr>
          <w:b/>
          <w:bCs/>
          <w:lang w:val="en-US"/>
        </w:rPr>
        <w:t>What crimes may officials commit?</w:t>
      </w:r>
    </w:p>
    <w:p w14:paraId="560F9791" w14:textId="1B10636F" w:rsidR="00EF2942" w:rsidRPr="00EF2942" w:rsidRDefault="00EF2942" w:rsidP="00EF2942">
      <w:pPr>
        <w:rPr>
          <w:lang w:val="en-US"/>
        </w:rPr>
      </w:pPr>
      <w:r w:rsidRPr="00EF2942">
        <w:rPr>
          <w:lang w:val="en-US"/>
        </w:rPr>
        <w:t xml:space="preserve">The most common crime is </w:t>
      </w:r>
      <w:r w:rsidRPr="00EF2942">
        <w:rPr>
          <w:b/>
          <w:bCs/>
          <w:lang w:val="en-US"/>
        </w:rPr>
        <w:t>Abuse of Public Function</w:t>
      </w:r>
      <w:r w:rsidRPr="00EF2942">
        <w:rPr>
          <w:lang w:val="en-US"/>
        </w:rPr>
        <w:t xml:space="preserve"> (Art. 428, Penal Code), which may occur when the liquidator or special agent exceeds the scope of their functions. For example, if they adopt decisions based on powers or grounds not provided for in Law 66 of 1968 and related regulations; if they order measures not expressly authorized; or if they fail to manage assets and funds in accordance with the law, among others.</w:t>
      </w:r>
    </w:p>
    <w:p w14:paraId="2F3679F8" w14:textId="77777777" w:rsidR="00EF2942" w:rsidRPr="00EF2942" w:rsidRDefault="00EF2942" w:rsidP="00EF2942">
      <w:pPr>
        <w:rPr>
          <w:b/>
          <w:bCs/>
          <w:lang w:val="en-US"/>
        </w:rPr>
      </w:pPr>
      <w:r w:rsidRPr="00EF2942">
        <w:rPr>
          <w:b/>
          <w:bCs/>
          <w:lang w:val="en-US"/>
        </w:rPr>
        <w:t>What disciplinary offenses may officials commit?</w:t>
      </w:r>
    </w:p>
    <w:p w14:paraId="76C2B332" w14:textId="04D94C7C" w:rsidR="00EF2942" w:rsidRPr="00EF2942" w:rsidRDefault="00EF2942" w:rsidP="00EF2942">
      <w:pPr>
        <w:rPr>
          <w:lang w:val="en-US"/>
        </w:rPr>
      </w:pPr>
      <w:r w:rsidRPr="00EF2942">
        <w:rPr>
          <w:lang w:val="en-US"/>
        </w:rPr>
        <w:t xml:space="preserve">The liquidator or special agent may incur a disciplinary offense if they exceed their powers, fail to comply with their duties, or act despite having </w:t>
      </w:r>
      <w:proofErr w:type="gramStart"/>
      <w:r w:rsidRPr="00EF2942">
        <w:rPr>
          <w:lang w:val="en-US"/>
        </w:rPr>
        <w:t>an incompatibility</w:t>
      </w:r>
      <w:proofErr w:type="gramEnd"/>
      <w:r w:rsidRPr="00EF2942">
        <w:rPr>
          <w:lang w:val="en-US"/>
        </w:rPr>
        <w:t>, disqualification, or conflict of interest with the affected individual or legal entity. Their conduct may be investigated and sanctioned by the Office of the Inspector General, and they may face penalties such as suspension, fines, or dismissal, depending on the seriousness of the misconduct.</w:t>
      </w:r>
    </w:p>
    <w:p w14:paraId="26617269" w14:textId="77777777" w:rsidR="00EF2942" w:rsidRPr="00EF2942" w:rsidRDefault="00EF2942" w:rsidP="00EF2942">
      <w:pPr>
        <w:rPr>
          <w:b/>
          <w:bCs/>
          <w:lang w:val="en-US"/>
        </w:rPr>
      </w:pPr>
      <w:r w:rsidRPr="00EF2942">
        <w:rPr>
          <w:b/>
          <w:bCs/>
          <w:lang w:val="en-US"/>
        </w:rPr>
        <w:t>Who may file a complaint?</w:t>
      </w:r>
    </w:p>
    <w:p w14:paraId="536DC315" w14:textId="0B5989AC" w:rsidR="00EF2942" w:rsidRPr="00EF2942" w:rsidRDefault="00EF2942" w:rsidP="00EF2942">
      <w:pPr>
        <w:rPr>
          <w:lang w:val="en-US"/>
        </w:rPr>
      </w:pPr>
      <w:r w:rsidRPr="00EF2942">
        <w:rPr>
          <w:lang w:val="en-US"/>
        </w:rPr>
        <w:t>Any person may report this crime or disciplinary offense. However, only the individual or legal entity directly affected by the conduct may act as a victim or complainant. In disciplinary matters, given the limited standing of the complainant, a well-grounded complaint with strong evidentiary support is necessary to properly move the process forward.</w:t>
      </w:r>
    </w:p>
    <w:p w14:paraId="34E1D6EB" w14:textId="77777777" w:rsidR="00EF2942" w:rsidRPr="00EF2942" w:rsidRDefault="00EF2942" w:rsidP="00EF2942">
      <w:pPr>
        <w:rPr>
          <w:b/>
          <w:bCs/>
          <w:lang w:val="en-US"/>
        </w:rPr>
      </w:pPr>
      <w:r w:rsidRPr="00EF2942">
        <w:rPr>
          <w:b/>
          <w:bCs/>
          <w:lang w:val="en-US"/>
        </w:rPr>
        <w:t>What is the time limit to file a complaint?</w:t>
      </w:r>
    </w:p>
    <w:p w14:paraId="07AB0471" w14:textId="6953CC5F" w:rsidR="00EF2942" w:rsidRPr="00EF2942" w:rsidRDefault="00EF2942" w:rsidP="00EF2942">
      <w:pPr>
        <w:rPr>
          <w:lang w:val="en-US"/>
        </w:rPr>
      </w:pPr>
      <w:r w:rsidRPr="00EF2942">
        <w:rPr>
          <w:lang w:val="en-US"/>
        </w:rPr>
        <w:t xml:space="preserve">The crime of Abuse of Public Function and disciplinary offenses generally have a statute of limitations of </w:t>
      </w:r>
      <w:r w:rsidRPr="00EF2942">
        <w:rPr>
          <w:b/>
          <w:bCs/>
          <w:lang w:val="en-US"/>
        </w:rPr>
        <w:t>five years</w:t>
      </w:r>
      <w:r w:rsidRPr="00EF2942">
        <w:rPr>
          <w:lang w:val="en-US"/>
        </w:rPr>
        <w:t>. Within this period, the affected party may file the corresponding complaint or grievance. However, it is advisable to act as soon as possible, since authorities have the same period to investigate and bring charges in the criminal case, or to issue a first-instance decision in the disciplinary case. Once this period expires, the conduct can no longer be investigated or sanctioned.</w:t>
      </w:r>
    </w:p>
    <w:p w14:paraId="46D60D29" w14:textId="77777777" w:rsidR="00EF2942" w:rsidRPr="00EF2942" w:rsidRDefault="00EF2942" w:rsidP="00EF2942">
      <w:pPr>
        <w:rPr>
          <w:b/>
          <w:bCs/>
          <w:lang w:val="en-US"/>
        </w:rPr>
      </w:pPr>
      <w:r w:rsidRPr="00EF2942">
        <w:rPr>
          <w:b/>
          <w:bCs/>
          <w:lang w:val="en-US"/>
        </w:rPr>
        <w:t>Conclusion</w:t>
      </w:r>
    </w:p>
    <w:p w14:paraId="1CC3BAE2" w14:textId="77777777" w:rsidR="00EF2942" w:rsidRDefault="00EF2942" w:rsidP="00EF2942">
      <w:pPr>
        <w:rPr>
          <w:lang w:val="en-US"/>
        </w:rPr>
      </w:pPr>
      <w:r w:rsidRPr="00EF2942">
        <w:rPr>
          <w:lang w:val="en-US"/>
        </w:rPr>
        <w:lastRenderedPageBreak/>
        <w:t xml:space="preserve">It is essential to remain alert to possible irregularities </w:t>
      </w:r>
      <w:proofErr w:type="gramStart"/>
      <w:r w:rsidRPr="00EF2942">
        <w:rPr>
          <w:lang w:val="en-US"/>
        </w:rPr>
        <w:t>during the course of</w:t>
      </w:r>
      <w:proofErr w:type="gramEnd"/>
      <w:r w:rsidRPr="00EF2942">
        <w:rPr>
          <w:lang w:val="en-US"/>
        </w:rPr>
        <w:t xml:space="preserve"> takeovers </w:t>
      </w:r>
      <w:proofErr w:type="gramStart"/>
      <w:r w:rsidRPr="00EF2942">
        <w:rPr>
          <w:lang w:val="en-US"/>
        </w:rPr>
        <w:t>in order to</w:t>
      </w:r>
      <w:proofErr w:type="gramEnd"/>
      <w:r w:rsidRPr="00EF2942">
        <w:rPr>
          <w:lang w:val="en-US"/>
        </w:rPr>
        <w:t xml:space="preserve"> file timely complaints and ensure investigations that protect the company, its projects, and assets, while safeguarding compliance with consumer obligations.</w:t>
      </w:r>
    </w:p>
    <w:p w14:paraId="105F57B2" w14:textId="77777777" w:rsidR="00EF2942" w:rsidRPr="00EF2942" w:rsidRDefault="00EF2942" w:rsidP="00EF2942">
      <w:pPr>
        <w:rPr>
          <w:lang w:val="en-US"/>
        </w:rPr>
      </w:pPr>
    </w:p>
    <w:p w14:paraId="76AEEDD3" w14:textId="4EBDC33A" w:rsidR="009A0F20" w:rsidRPr="00EF2942" w:rsidRDefault="00EF2942">
      <w:pPr>
        <w:rPr>
          <w:lang w:val="en-US"/>
        </w:rPr>
      </w:pPr>
      <w:r w:rsidRPr="00EF2942">
        <w:rPr>
          <w:lang w:val="en-US"/>
        </w:rPr>
        <w:t>Written by Laura Pinilla De Brigard, Associate in the Criminal and Disciplinary Law Practice</w:t>
      </w:r>
      <w:r>
        <w:rPr>
          <w:lang w:val="en-US"/>
        </w:rPr>
        <w:t xml:space="preserve">. </w:t>
      </w:r>
    </w:p>
    <w:sectPr w:rsidR="009A0F20" w:rsidRPr="00EF29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78DF" w14:textId="77777777" w:rsidR="00EF2942" w:rsidRDefault="00EF2942" w:rsidP="00EF2942">
      <w:pPr>
        <w:spacing w:after="0" w:line="240" w:lineRule="auto"/>
      </w:pPr>
      <w:r>
        <w:separator/>
      </w:r>
    </w:p>
  </w:endnote>
  <w:endnote w:type="continuationSeparator" w:id="0">
    <w:p w14:paraId="66CBE658" w14:textId="77777777" w:rsidR="00EF2942" w:rsidRDefault="00EF2942" w:rsidP="00EF2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A977" w14:textId="77777777" w:rsidR="00EF2942" w:rsidRDefault="00EF2942" w:rsidP="00EF2942">
      <w:pPr>
        <w:spacing w:after="0" w:line="240" w:lineRule="auto"/>
      </w:pPr>
      <w:r>
        <w:separator/>
      </w:r>
    </w:p>
  </w:footnote>
  <w:footnote w:type="continuationSeparator" w:id="0">
    <w:p w14:paraId="5FAAFE6B" w14:textId="77777777" w:rsidR="00EF2942" w:rsidRDefault="00EF2942" w:rsidP="00EF29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42"/>
    <w:rsid w:val="000E1FDE"/>
    <w:rsid w:val="00380710"/>
    <w:rsid w:val="003C49C5"/>
    <w:rsid w:val="003C5B06"/>
    <w:rsid w:val="005A25B1"/>
    <w:rsid w:val="005B5E30"/>
    <w:rsid w:val="007E693B"/>
    <w:rsid w:val="008B35AA"/>
    <w:rsid w:val="008F6BAA"/>
    <w:rsid w:val="009A0F20"/>
    <w:rsid w:val="009D1195"/>
    <w:rsid w:val="00C06468"/>
    <w:rsid w:val="00D24A3F"/>
    <w:rsid w:val="00D3442B"/>
    <w:rsid w:val="00E66900"/>
    <w:rsid w:val="00EF2942"/>
    <w:rsid w:val="00F16E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7F11"/>
  <w15:chartTrackingRefBased/>
  <w15:docId w15:val="{E087AA35-FD17-416E-A486-167AC6BB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F29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EF29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F2942"/>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EF2942"/>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EF294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EF29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9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9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9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2942"/>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EF294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F2942"/>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EF294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EF294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EF29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29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29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2942"/>
    <w:rPr>
      <w:rFonts w:eastAsiaTheme="majorEastAsia" w:cstheme="majorBidi"/>
      <w:color w:val="272727" w:themeColor="text1" w:themeTint="D8"/>
    </w:rPr>
  </w:style>
  <w:style w:type="paragraph" w:styleId="Ttulo">
    <w:name w:val="Title"/>
    <w:basedOn w:val="Normal"/>
    <w:next w:val="Normal"/>
    <w:link w:val="TtuloCar"/>
    <w:uiPriority w:val="10"/>
    <w:qFormat/>
    <w:rsid w:val="00EF2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9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29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9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2942"/>
    <w:pPr>
      <w:spacing w:before="160"/>
      <w:jc w:val="center"/>
    </w:pPr>
    <w:rPr>
      <w:i/>
      <w:iCs/>
      <w:color w:val="404040" w:themeColor="text1" w:themeTint="BF"/>
    </w:rPr>
  </w:style>
  <w:style w:type="character" w:customStyle="1" w:styleId="CitaCar">
    <w:name w:val="Cita Car"/>
    <w:basedOn w:val="Fuentedeprrafopredeter"/>
    <w:link w:val="Cita"/>
    <w:uiPriority w:val="29"/>
    <w:rsid w:val="00EF2942"/>
    <w:rPr>
      <w:i/>
      <w:iCs/>
      <w:color w:val="404040" w:themeColor="text1" w:themeTint="BF"/>
    </w:rPr>
  </w:style>
  <w:style w:type="paragraph" w:styleId="Prrafodelista">
    <w:name w:val="List Paragraph"/>
    <w:basedOn w:val="Normal"/>
    <w:uiPriority w:val="34"/>
    <w:qFormat/>
    <w:rsid w:val="00EF2942"/>
    <w:pPr>
      <w:ind w:left="720"/>
      <w:contextualSpacing/>
    </w:pPr>
  </w:style>
  <w:style w:type="character" w:styleId="nfasisintenso">
    <w:name w:val="Intense Emphasis"/>
    <w:basedOn w:val="Fuentedeprrafopredeter"/>
    <w:uiPriority w:val="21"/>
    <w:qFormat/>
    <w:rsid w:val="00EF2942"/>
    <w:rPr>
      <w:i/>
      <w:iCs/>
      <w:color w:val="2E74B5" w:themeColor="accent1" w:themeShade="BF"/>
    </w:rPr>
  </w:style>
  <w:style w:type="paragraph" w:styleId="Citadestacada">
    <w:name w:val="Intense Quote"/>
    <w:basedOn w:val="Normal"/>
    <w:next w:val="Normal"/>
    <w:link w:val="CitadestacadaCar"/>
    <w:uiPriority w:val="30"/>
    <w:qFormat/>
    <w:rsid w:val="00EF29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EF2942"/>
    <w:rPr>
      <w:i/>
      <w:iCs/>
      <w:color w:val="2E74B5" w:themeColor="accent1" w:themeShade="BF"/>
    </w:rPr>
  </w:style>
  <w:style w:type="character" w:styleId="Referenciaintensa">
    <w:name w:val="Intense Reference"/>
    <w:basedOn w:val="Fuentedeprrafopredeter"/>
    <w:uiPriority w:val="32"/>
    <w:qFormat/>
    <w:rsid w:val="00EF2942"/>
    <w:rPr>
      <w:b/>
      <w:bCs/>
      <w:smallCaps/>
      <w:color w:val="2E74B5" w:themeColor="accent1" w:themeShade="BF"/>
      <w:spacing w:val="5"/>
    </w:rPr>
  </w:style>
  <w:style w:type="paragraph" w:styleId="Encabezado">
    <w:name w:val="header"/>
    <w:basedOn w:val="Normal"/>
    <w:link w:val="EncabezadoCar"/>
    <w:uiPriority w:val="99"/>
    <w:unhideWhenUsed/>
    <w:rsid w:val="00EF29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942"/>
  </w:style>
  <w:style w:type="paragraph" w:styleId="Piedepgina">
    <w:name w:val="footer"/>
    <w:basedOn w:val="Normal"/>
    <w:link w:val="PiedepginaCar"/>
    <w:uiPriority w:val="99"/>
    <w:unhideWhenUsed/>
    <w:rsid w:val="00EF29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2707</Characters>
  <Application>Microsoft Office Word</Application>
  <DocSecurity>0</DocSecurity>
  <Lines>22</Lines>
  <Paragraphs>6</Paragraphs>
  <ScaleCrop>false</ScaleCrop>
  <Company>PGP</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Wehdeking Chaux</dc:creator>
  <cp:keywords/>
  <dc:description/>
  <cp:lastModifiedBy>Valentina Wehdeking Chaux</cp:lastModifiedBy>
  <cp:revision>1</cp:revision>
  <dcterms:created xsi:type="dcterms:W3CDTF">2025-08-25T18:06:00Z</dcterms:created>
  <dcterms:modified xsi:type="dcterms:W3CDTF">2025-08-25T18:08:00Z</dcterms:modified>
</cp:coreProperties>
</file>