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DF898" w14:textId="77777777" w:rsidR="00606189" w:rsidRDefault="00606189" w:rsidP="00606189">
      <w:pPr>
        <w:jc w:val="center"/>
        <w:rPr>
          <w:b/>
          <w:bCs/>
          <w:lang w:val="en-US"/>
        </w:rPr>
      </w:pPr>
      <w:r w:rsidRPr="00606189">
        <w:rPr>
          <w:b/>
          <w:bCs/>
          <w:lang w:val="en-US"/>
        </w:rPr>
        <w:t>Clean Energy and Exemption from Environmental Licenses</w:t>
      </w:r>
    </w:p>
    <w:p w14:paraId="6FE6A31A" w14:textId="0AE95741" w:rsidR="00606189" w:rsidRPr="00606189" w:rsidRDefault="00606189" w:rsidP="00606189">
      <w:pPr>
        <w:rPr>
          <w:lang w:val="en-US"/>
        </w:rPr>
      </w:pPr>
      <w:r w:rsidRPr="00606189">
        <w:rPr>
          <w:lang w:val="en-US"/>
        </w:rPr>
        <w:t>Within the framework of the 8th LATAM Renewables Meeting and Fair, held in Barranquilla last May, the Minister of Mines and Energy, Edwin Palma, announced that the National Government is evaluating the possibility of exempting renewable energy projects of up to 100 megawatts (MW) from requiring an environmental license. The purpose of this measure would be to unblock 52% of projects currently stalled, ease the burden on Regional Autonomous Corporations (CAR), and accelerate the energy transition. Although this proposal addresses an urgent need in the country’s fight against climate change, it also raises legal and environmental concerns that cannot be overlooked.</w:t>
      </w:r>
    </w:p>
    <w:p w14:paraId="7E0C0C03" w14:textId="77777777" w:rsidR="00606189" w:rsidRPr="00606189" w:rsidRDefault="00606189" w:rsidP="00606189">
      <w:pPr>
        <w:rPr>
          <w:lang w:val="en-US"/>
        </w:rPr>
      </w:pPr>
      <w:r w:rsidRPr="00606189">
        <w:rPr>
          <w:lang w:val="en-US"/>
        </w:rPr>
        <w:t xml:space="preserve">First, this discussion involves multiple stakeholders with diverse interests. On one side, the Government seeks to boost energy policy. On the </w:t>
      </w:r>
      <w:proofErr w:type="gramStart"/>
      <w:r w:rsidRPr="00606189">
        <w:rPr>
          <w:lang w:val="en-US"/>
        </w:rPr>
        <w:t>other</w:t>
      </w:r>
      <w:proofErr w:type="gramEnd"/>
      <w:r w:rsidRPr="00606189">
        <w:rPr>
          <w:lang w:val="en-US"/>
        </w:rPr>
        <w:t>, renewable energy companies would welcome a reduction in bureaucratic procedures and operating costs. At the same time, CARs would partially ease their technical and administrative burden. Nevertheless, the rights of local communities are also at stake.</w:t>
      </w:r>
    </w:p>
    <w:p w14:paraId="2F35BAC3" w14:textId="77777777" w:rsidR="00606189" w:rsidRPr="00606189" w:rsidRDefault="00606189" w:rsidP="00606189">
      <w:pPr>
        <w:rPr>
          <w:lang w:val="en-US"/>
        </w:rPr>
      </w:pPr>
      <w:r w:rsidRPr="00606189">
        <w:rPr>
          <w:lang w:val="en-US"/>
        </w:rPr>
        <w:t>From a business standpoint, the measure offers clear advantages: reduced timeframes and costs associated with licensing, less legal uncertainty for investors, and the possibility of quickly reactivating projects stalled due to environmental procedures. Moreover, by facilitating the development of clean energy sources, competitiveness could increase compared to more polluting technologies such as coal or gas, representing progress in terms of sustainability.</w:t>
      </w:r>
    </w:p>
    <w:p w14:paraId="3B4AA56E" w14:textId="77777777" w:rsidR="00606189" w:rsidRPr="00606189" w:rsidRDefault="00606189" w:rsidP="00606189">
      <w:pPr>
        <w:rPr>
          <w:lang w:val="en-US"/>
        </w:rPr>
      </w:pPr>
      <w:r w:rsidRPr="00606189">
        <w:rPr>
          <w:lang w:val="en-US"/>
        </w:rPr>
        <w:t>While the advantages are appealing, there are also risks that must be considered. First, eliminating environmental licensing could weaken the trust relationship between companies and communities, especially when the latter have not been properly informed or consulted. In this way, the absence of effective social participation could lead to territorial conflicts, blockades, lawsuits, and loss of legitimacy. Second, there is the legal uncertainty of a provision that generally eliminates licensing, which could be unconstitutional, leaving dozens of projects in a legal limbo. Finally, the omission of environmental impact studies could place projects in environmentally and socially sensitive areas, with consequences that must not be dismissed.</w:t>
      </w:r>
    </w:p>
    <w:p w14:paraId="39B93797" w14:textId="77777777" w:rsidR="00606189" w:rsidRPr="00606189" w:rsidRDefault="00606189" w:rsidP="00606189">
      <w:pPr>
        <w:rPr>
          <w:lang w:val="en-US"/>
        </w:rPr>
      </w:pPr>
      <w:r w:rsidRPr="00606189">
        <w:rPr>
          <w:lang w:val="en-US"/>
        </w:rPr>
        <w:t>It is also necessary to examine the legal feasibility of this measure, since Article 49 of Law 99 of 1993 requires that any project likely to cause serious environmental damage must undergo environmental licensing. This provision does not distinguish between energy sources or power levels; it focuses on impacts. Therefore, a general exemption based solely on project size may contradict this legal mandate. Furthermore, the Constitution, in Articles 79 and 80, enshrines the right to a healthy environment and the duty of the State to prevent environmental degradation. These obligations require control mechanisms, such as licensing, particularly when the rights of ethnic communities or environmentally fragile territories are at stake.</w:t>
      </w:r>
    </w:p>
    <w:p w14:paraId="11967267" w14:textId="77777777" w:rsidR="00606189" w:rsidRPr="00606189" w:rsidRDefault="00606189" w:rsidP="00606189">
      <w:pPr>
        <w:rPr>
          <w:lang w:val="en-US"/>
        </w:rPr>
      </w:pPr>
      <w:r w:rsidRPr="00606189">
        <w:rPr>
          <w:lang w:val="en-US"/>
        </w:rPr>
        <w:t xml:space="preserve">The Constitutional Court’s jurisprudence has been clear in reaffirming the central role of environmental licensing. In Ruling C-746 of 2012, the Court held that this instrument is essential to ensure the protection of natural resources and the environment, and that its omission compromises fundamental constitutional principles. Likewise, in Ruling C-035 of </w:t>
      </w:r>
      <w:r w:rsidRPr="00606189">
        <w:rPr>
          <w:lang w:val="en-US"/>
        </w:rPr>
        <w:lastRenderedPageBreak/>
        <w:t>2016, the Court annulled a provision that centralized the issuance of licenses within the ANLA, considering that it violated the autonomy of CARs and the principle of citizen participation.</w:t>
      </w:r>
    </w:p>
    <w:p w14:paraId="53AF8506" w14:textId="77777777" w:rsidR="00606189" w:rsidRPr="00606189" w:rsidRDefault="00606189" w:rsidP="00606189">
      <w:pPr>
        <w:rPr>
          <w:lang w:val="en-US"/>
        </w:rPr>
      </w:pPr>
      <w:r w:rsidRPr="00606189">
        <w:rPr>
          <w:lang w:val="en-US"/>
        </w:rPr>
        <w:t xml:space="preserve">More recently, in Ruling C-280 of 2024, the Constitutional Court required the inclusion </w:t>
      </w:r>
      <w:proofErr w:type="gramStart"/>
      <w:r w:rsidRPr="00606189">
        <w:rPr>
          <w:lang w:val="en-US"/>
        </w:rPr>
        <w:t>of climate change</w:t>
      </w:r>
      <w:proofErr w:type="gramEnd"/>
      <w:r w:rsidRPr="00606189">
        <w:rPr>
          <w:lang w:val="en-US"/>
        </w:rPr>
        <w:t xml:space="preserve"> impact assessments within environmental impact studies, thereby reaffirming the technical, preventive, and structural nature of these instruments. On that occasion, the Court warned that the challenged provision offered deficient environmental protection by establishing measures that only provided partial safeguards. It stressed that this deficiency contradicted the level of constitutional protection enshrined in Article 79 of the Constitution, by failing to incorporate an explicit evaluation of climate change impacts. This pronouncement reinforces the need to maintain—not weaken—technical environmental evaluation mechanisms such as licensing.</w:t>
      </w:r>
    </w:p>
    <w:p w14:paraId="0F8F2C72" w14:textId="77777777" w:rsidR="00606189" w:rsidRPr="00606189" w:rsidRDefault="00606189" w:rsidP="00606189">
      <w:pPr>
        <w:rPr>
          <w:lang w:val="en-US"/>
        </w:rPr>
      </w:pPr>
      <w:r w:rsidRPr="00606189">
        <w:rPr>
          <w:lang w:val="en-US"/>
        </w:rPr>
        <w:t>In conclusion, the National Government’s proposal to exempt renewable energy projects of up to 100 MW from the environmental licensing requirement represents a valuable opportunity to unlock investments, accelerate the energy transition, and contribute to the country’s decarbonization goals. Companies in the sector have faced unjustified delays, disproportionate administrative burdens, and institutional obstacles that have slowed the execution of environmentally sustainable and socially necessary projects for years.</w:t>
      </w:r>
    </w:p>
    <w:p w14:paraId="02A8CF29" w14:textId="77777777" w:rsidR="00606189" w:rsidRPr="00606189" w:rsidRDefault="00606189" w:rsidP="00606189">
      <w:pPr>
        <w:rPr>
          <w:lang w:val="en-US"/>
        </w:rPr>
      </w:pPr>
      <w:r w:rsidRPr="00606189">
        <w:rPr>
          <w:lang w:val="en-US"/>
        </w:rPr>
        <w:t>Lowering the entry barriers for these projects should not be interpreted as abandoning environmental protection, but rather as a way of modernizing the evaluation system, focusing State efforts on projects that truly pose a high risk. However, it is important that this measure be accompanied by clear technical guidelines, mandatory environmental protocols, and alternative mechanisms for evaluation and citizen participation that guarantee long-term sustainability and prevent unnecessary conflicts.</w:t>
      </w:r>
    </w:p>
    <w:p w14:paraId="1F2C9A5A" w14:textId="77777777" w:rsidR="00606189" w:rsidRDefault="00606189" w:rsidP="00606189">
      <w:pPr>
        <w:rPr>
          <w:lang w:val="en-US"/>
        </w:rPr>
      </w:pPr>
    </w:p>
    <w:p w14:paraId="09B3069F" w14:textId="3FF117D8" w:rsidR="00606189" w:rsidRPr="00606189" w:rsidRDefault="00606189" w:rsidP="00606189">
      <w:pPr>
        <w:rPr>
          <w:lang w:val="en-US"/>
        </w:rPr>
      </w:pPr>
      <w:r>
        <w:rPr>
          <w:lang w:val="en-US"/>
        </w:rPr>
        <w:t>Written by</w:t>
      </w:r>
      <w:r w:rsidRPr="00606189">
        <w:rPr>
          <w:lang w:val="en-US"/>
        </w:rPr>
        <w:t xml:space="preserve"> Sara Isabella Yara, Junior Associate, Environmental Law and Public Services Practice</w:t>
      </w:r>
    </w:p>
    <w:p w14:paraId="0A91BC28" w14:textId="77777777" w:rsidR="009A0F20" w:rsidRPr="00606189" w:rsidRDefault="009A0F20">
      <w:pPr>
        <w:rPr>
          <w:lang w:val="en-US"/>
        </w:rPr>
      </w:pPr>
    </w:p>
    <w:sectPr w:rsidR="009A0F20" w:rsidRPr="0060618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89"/>
    <w:rsid w:val="000E1FDE"/>
    <w:rsid w:val="00380710"/>
    <w:rsid w:val="003C49C5"/>
    <w:rsid w:val="003C5B06"/>
    <w:rsid w:val="005A25B1"/>
    <w:rsid w:val="005B5E30"/>
    <w:rsid w:val="00606189"/>
    <w:rsid w:val="007E693B"/>
    <w:rsid w:val="008B35AA"/>
    <w:rsid w:val="008F6BAA"/>
    <w:rsid w:val="009A0F20"/>
    <w:rsid w:val="009D1195"/>
    <w:rsid w:val="00C06468"/>
    <w:rsid w:val="00D24A3F"/>
    <w:rsid w:val="00D3442B"/>
    <w:rsid w:val="00E66900"/>
    <w:rsid w:val="00F16E0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AA2D"/>
  <w15:chartTrackingRefBased/>
  <w15:docId w15:val="{633F9F12-463C-4DED-92A3-89818A5B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0618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0618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606189"/>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606189"/>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606189"/>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6061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61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61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61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6189"/>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06189"/>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606189"/>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606189"/>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606189"/>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6061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61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61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6189"/>
    <w:rPr>
      <w:rFonts w:eastAsiaTheme="majorEastAsia" w:cstheme="majorBidi"/>
      <w:color w:val="272727" w:themeColor="text1" w:themeTint="D8"/>
    </w:rPr>
  </w:style>
  <w:style w:type="paragraph" w:styleId="Ttulo">
    <w:name w:val="Title"/>
    <w:basedOn w:val="Normal"/>
    <w:next w:val="Normal"/>
    <w:link w:val="TtuloCar"/>
    <w:uiPriority w:val="10"/>
    <w:qFormat/>
    <w:rsid w:val="00606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61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61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61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6189"/>
    <w:pPr>
      <w:spacing w:before="160"/>
      <w:jc w:val="center"/>
    </w:pPr>
    <w:rPr>
      <w:i/>
      <w:iCs/>
      <w:color w:val="404040" w:themeColor="text1" w:themeTint="BF"/>
    </w:rPr>
  </w:style>
  <w:style w:type="character" w:customStyle="1" w:styleId="CitaCar">
    <w:name w:val="Cita Car"/>
    <w:basedOn w:val="Fuentedeprrafopredeter"/>
    <w:link w:val="Cita"/>
    <w:uiPriority w:val="29"/>
    <w:rsid w:val="00606189"/>
    <w:rPr>
      <w:i/>
      <w:iCs/>
      <w:color w:val="404040" w:themeColor="text1" w:themeTint="BF"/>
    </w:rPr>
  </w:style>
  <w:style w:type="paragraph" w:styleId="Prrafodelista">
    <w:name w:val="List Paragraph"/>
    <w:basedOn w:val="Normal"/>
    <w:uiPriority w:val="34"/>
    <w:qFormat/>
    <w:rsid w:val="00606189"/>
    <w:pPr>
      <w:ind w:left="720"/>
      <w:contextualSpacing/>
    </w:pPr>
  </w:style>
  <w:style w:type="character" w:styleId="nfasisintenso">
    <w:name w:val="Intense Emphasis"/>
    <w:basedOn w:val="Fuentedeprrafopredeter"/>
    <w:uiPriority w:val="21"/>
    <w:qFormat/>
    <w:rsid w:val="00606189"/>
    <w:rPr>
      <w:i/>
      <w:iCs/>
      <w:color w:val="2E74B5" w:themeColor="accent1" w:themeShade="BF"/>
    </w:rPr>
  </w:style>
  <w:style w:type="paragraph" w:styleId="Citadestacada">
    <w:name w:val="Intense Quote"/>
    <w:basedOn w:val="Normal"/>
    <w:next w:val="Normal"/>
    <w:link w:val="CitadestacadaCar"/>
    <w:uiPriority w:val="30"/>
    <w:qFormat/>
    <w:rsid w:val="006061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606189"/>
    <w:rPr>
      <w:i/>
      <w:iCs/>
      <w:color w:val="2E74B5" w:themeColor="accent1" w:themeShade="BF"/>
    </w:rPr>
  </w:style>
  <w:style w:type="character" w:styleId="Referenciaintensa">
    <w:name w:val="Intense Reference"/>
    <w:basedOn w:val="Fuentedeprrafopredeter"/>
    <w:uiPriority w:val="32"/>
    <w:qFormat/>
    <w:rsid w:val="00606189"/>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847</Words>
  <Characters>4664</Characters>
  <Application>Microsoft Office Word</Application>
  <DocSecurity>0</DocSecurity>
  <Lines>38</Lines>
  <Paragraphs>10</Paragraphs>
  <ScaleCrop>false</ScaleCrop>
  <Company>PGP</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Wehdeking Chaux</dc:creator>
  <cp:keywords/>
  <dc:description/>
  <cp:lastModifiedBy>Valentina Wehdeking Chaux</cp:lastModifiedBy>
  <cp:revision>1</cp:revision>
  <dcterms:created xsi:type="dcterms:W3CDTF">2025-08-25T18:02:00Z</dcterms:created>
  <dcterms:modified xsi:type="dcterms:W3CDTF">2025-08-25T18:05:00Z</dcterms:modified>
</cp:coreProperties>
</file>